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м.а. Нургожаев Д. Б.й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17.11.2025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КГД-15-4-11/18766-ВН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Письмо в ДЮС для отправки в Экспертный Совет и Общественный Совет по НПА  «О признании утратившим силу приказ Министра финансов Республики Казахстан от 6 февраля 2018 года № 129 «Об утверждении перечня услуг по ремонту товара, ввезенного на территорию Республики Казахстан с территории государств-членов Евразийского экономического союза, включая его восстановление, замену составных частей, обороты по реализации которых освобождаются от налога на добавленную стоимость в Евразийском экономическом союзе»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Нургожаев Д.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Жанатбеков Р.Ж.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709977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Жанатбеков Р.Ж.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17.11.2025 18:43 Ердаулетұлы Женыс</w:t>
      </w:r>
    </w:p>
    <w:p>
      <w:pPr>
                </w:pPr>
      <w:r>
        <w:rPr>
          <w:rFonts w:ascii="Times New Roman" w:hAnsi="Times New Roman" w:cs="Times New Roman"/>
        </w:rPr>
        <w:t>Келісілді 17.11.2025 18:47 Тобыкбаев Аслан Нурбосынович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2" Type="http://schemas.openxmlformats.org/officeDocument/2006/relationships/image" Target="media/image99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